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A6" w:rsidRDefault="00EF3EA6" w:rsidP="00EF3EA6">
      <w:pPr>
        <w:jc w:val="center"/>
        <w:rPr>
          <w:b/>
          <w:bCs/>
          <w:sz w:val="26"/>
        </w:rPr>
      </w:pPr>
      <w:bookmarkStart w:id="0" w:name="_GoBack"/>
      <w:bookmarkEnd w:id="0"/>
      <w:r>
        <w:rPr>
          <w:b/>
          <w:bCs/>
          <w:sz w:val="26"/>
        </w:rPr>
        <w:t xml:space="preserve">Указания по заполнению формы федерального статистического наблюдения </w:t>
      </w:r>
    </w:p>
    <w:p w:rsidR="00EF3EA6" w:rsidRDefault="00EF3EA6" w:rsidP="00EF3EA6">
      <w:pPr>
        <w:jc w:val="center"/>
      </w:pPr>
    </w:p>
    <w:p w:rsidR="00EF3EA6" w:rsidRDefault="00EF3EA6" w:rsidP="00EF3EA6">
      <w:pPr>
        <w:ind w:firstLine="709"/>
        <w:jc w:val="both"/>
      </w:pPr>
      <w:r>
        <w:t xml:space="preserve">Форма </w:t>
      </w:r>
      <w:r>
        <w:rPr>
          <w:bCs/>
        </w:rPr>
        <w:t>федерального статистического наблюдения</w:t>
      </w:r>
      <w:r>
        <w:t xml:space="preserve"> заполняется</w:t>
      </w:r>
      <w:r>
        <w:rPr>
          <w:color w:val="FF0000"/>
        </w:rPr>
        <w:t xml:space="preserve"> </w:t>
      </w:r>
      <w:r>
        <w:t>юридическими лицами</w:t>
      </w:r>
      <w:r>
        <w:rPr>
          <w:color w:val="FF0000"/>
        </w:rPr>
        <w:t xml:space="preserve"> - </w:t>
      </w:r>
      <w:r>
        <w:t xml:space="preserve">всеми общедоступными (публичными) библиотеками независимо от их ведомственной подчиненности, как самостоятельными, так и включенными в централизованные библиотечные системы (далее - ЦБС), а также общедоступными библиотеками, включая библиотеки профсоюзов, общественных некоммерческих организаций и инициатив, библиотеками, работающими на общественных началах. Центральные библиотеки ЦБС показывают в разделах 1-6 формы сведения только </w:t>
      </w:r>
      <w:r>
        <w:rPr>
          <w:b/>
        </w:rPr>
        <w:t>о своей</w:t>
      </w:r>
      <w:r>
        <w:t xml:space="preserve"> деятельности.</w:t>
      </w:r>
    </w:p>
    <w:p w:rsidR="00EF3EA6" w:rsidRDefault="00EF3EA6" w:rsidP="00EF3EA6">
      <w:pPr>
        <w:ind w:firstLine="709"/>
        <w:jc w:val="both"/>
      </w:pPr>
      <w:r>
        <w:t xml:space="preserve">Если по решению учредителей библиотека вошла в состав другой организации культуры (клуба, музея и пр.), то отчет по форме ею не заполняется. Деятельность такой библиотеки учитывается </w:t>
      </w:r>
      <w:r>
        <w:rPr>
          <w:b/>
        </w:rPr>
        <w:t>в отчете основной</w:t>
      </w:r>
      <w:r>
        <w:t xml:space="preserve"> организации.</w:t>
      </w:r>
    </w:p>
    <w:p w:rsidR="00EF3EA6" w:rsidRDefault="00EF3EA6" w:rsidP="00EF3EA6">
      <w:pPr>
        <w:ind w:firstLine="709"/>
        <w:jc w:val="both"/>
      </w:pPr>
      <w:r>
        <w:t xml:space="preserve">В адресной части формы в строке “Наименование отчитывающейся организации” указывается полное наименование библиотеки (библиотеки-филиала), соответствующее ее наименованию в учредительных документах, например: Российская государственная библиотека, Центральная городская библиотека им. А.С. Пушкина, библиотека-филиал № 3; детская библиотека-филиал №2, библиотека леспромхоза № 2 и т.д. </w:t>
      </w:r>
    </w:p>
    <w:p w:rsidR="00EF3EA6" w:rsidRDefault="00EF3EA6" w:rsidP="00EF3EA6">
      <w:pPr>
        <w:ind w:firstLine="709"/>
        <w:jc w:val="both"/>
      </w:pPr>
      <w:r>
        <w:t>В строке “Почтовый адрес” указывается индекс предприятия связи и точный почтовый адрес библиотеки (библиотеки-филиала), учредитель (учредители) организации, форма собственности и его организационно-правовая форма в соответствии с записями в учредительных документах. В случае</w:t>
      </w:r>
      <w:proofErr w:type="gramStart"/>
      <w:r>
        <w:t>,</w:t>
      </w:r>
      <w:proofErr w:type="gramEnd"/>
      <w:r>
        <w:t xml:space="preserve"> если библиотека является структурным подразделением предприятия, учреждения, организации указывается наименование данного предприятия, организации, учреждения.</w:t>
      </w:r>
    </w:p>
    <w:p w:rsidR="00EF3EA6" w:rsidRDefault="00EF3EA6" w:rsidP="00EF3EA6">
      <w:pPr>
        <w:ind w:firstLine="709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(первичные статистические данные) от имени юридического лица.</w:t>
      </w:r>
    </w:p>
    <w:p w:rsidR="00EF3EA6" w:rsidRDefault="00EF3EA6" w:rsidP="00EF3EA6">
      <w:pPr>
        <w:ind w:firstLine="709"/>
        <w:jc w:val="both"/>
      </w:pPr>
      <w:r>
        <w:t>Юридическое лицо представляет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EF3EA6" w:rsidRDefault="00EF3EA6" w:rsidP="00EF3EA6">
      <w:pPr>
        <w:ind w:firstLine="709"/>
        <w:jc w:val="both"/>
      </w:pPr>
      <w:r>
        <w:t>В строке “Наименование централизованной системы, в которую входит библиотека (библиотека-филиал)” указывается полное наименование библиотечной системы муниципального уровня, например: ЦБС Химкинского района, Волгоградская ЦБС, ЦБС “</w:t>
      </w:r>
      <w:proofErr w:type="spellStart"/>
      <w:r>
        <w:t>Кунцево</w:t>
      </w:r>
      <w:proofErr w:type="spellEnd"/>
      <w:r>
        <w:t xml:space="preserve">”, муниципальное объединение библиотек Ивановского района, муниципальная универсальная библиотечно-информационная система </w:t>
      </w:r>
    </w:p>
    <w:p w:rsidR="00EF3EA6" w:rsidRDefault="00EF3EA6" w:rsidP="00EF3EA6">
      <w:pPr>
        <w:ind w:firstLine="709"/>
        <w:jc w:val="both"/>
      </w:pPr>
      <w:r>
        <w:t xml:space="preserve"> г. Суздаля, библиотечный комплекс  “Лианозово”, городское учреждение “Муниципальная библиотека”, Межсоюзная библиотека областного совета профсоюзов и т. п.</w:t>
      </w:r>
    </w:p>
    <w:p w:rsidR="00EF3EA6" w:rsidRDefault="00EF3EA6" w:rsidP="00EF3EA6">
      <w:pPr>
        <w:pStyle w:val="4"/>
        <w:tabs>
          <w:tab w:val="left" w:pos="13467"/>
        </w:tabs>
      </w:pPr>
      <w:r>
        <w:t>Раздел 1. Материально-техническая база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Графы 2-3</w:t>
      </w:r>
      <w:r>
        <w:t xml:space="preserve"> заполняются на основании Единого государственного реестра объектов культурного наследия.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 xml:space="preserve">В графе 4 </w:t>
      </w:r>
      <w:r>
        <w:t>указывается суммарная площадь всех занимаемых библиотекой помещений (основных, служебных, вспомогательных) как собственных, так и арендованных, вне зависимости от того, находятся они по одному или нескольким адресам. Сведения о размерах общей площади должны быть взяты из экспликации или договора на аренду помещения.</w:t>
      </w:r>
    </w:p>
    <w:p w:rsidR="00EF3EA6" w:rsidRDefault="00EF3EA6" w:rsidP="00EF3EA6">
      <w:pPr>
        <w:ind w:firstLine="709"/>
        <w:jc w:val="both"/>
        <w:rPr>
          <w:i/>
          <w:iCs/>
        </w:rPr>
      </w:pPr>
      <w:r>
        <w:rPr>
          <w:b/>
          <w:bCs/>
        </w:rPr>
        <w:t>В графах 5-6</w:t>
      </w:r>
      <w:r>
        <w:t xml:space="preserve"> указывается площадь помещений (из гр.4), которая предназначена для хранения фонда и обслуживания читателей.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lastRenderedPageBreak/>
        <w:t>В графах 7-8</w:t>
      </w:r>
      <w:r>
        <w:t xml:space="preserve"> указывается площадь помещений, требующих капитального ремонта и находящихся в аварийном состоянии. Эти графы заполняются на основании акта (заключения) или составленного в установленном порядке иного документа, характеризующего техническое состояние помещений библиотеки.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графах 9-10</w:t>
      </w:r>
      <w:r>
        <w:t xml:space="preserve"> указываются площади помещений библиотеки, находящиеся в оперативном управлении и/или арендованные ею.</w:t>
      </w:r>
    </w:p>
    <w:p w:rsidR="00EF3EA6" w:rsidRDefault="00EF3EA6" w:rsidP="00EF3EA6">
      <w:pPr>
        <w:ind w:firstLine="709"/>
        <w:jc w:val="both"/>
        <w:rPr>
          <w:i/>
          <w:iCs/>
        </w:rPr>
      </w:pPr>
      <w:r>
        <w:rPr>
          <w:b/>
          <w:bCs/>
        </w:rPr>
        <w:t>В графе 11</w:t>
      </w:r>
      <w:r>
        <w:t xml:space="preserve"> указывается общее число посадочных мест, предоставляемых библиотекой пользователям. </w:t>
      </w:r>
      <w:proofErr w:type="gramStart"/>
      <w:r>
        <w:t>Этот показатель включает места, оборудованные для пользователей в читальных залах и справочно-информационных службах, у каталогов, для групповой работы, места в помещениях для работы с аудио-визуальными средствами, кабины для индивидуальной работы, места для работы с персональными компьютерами, места в помещениях для проведения семинаров (при условии их общей доступности) и тому подобное, за исключением мест</w:t>
      </w:r>
      <w:proofErr w:type="gramEnd"/>
      <w:r>
        <w:t xml:space="preserve"> в аудиториях, лекционных, актовых и иных залах, а также  кафетериях.</w:t>
      </w:r>
    </w:p>
    <w:p w:rsidR="00EF3EA6" w:rsidRDefault="00EF3EA6" w:rsidP="00EF3EA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В графах 13-18 </w:t>
      </w:r>
      <w:r>
        <w:rPr>
          <w:color w:val="000000"/>
        </w:rPr>
        <w:t xml:space="preserve">указывается число персональных компьютеров, используемых в работе, из них подключенных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Интернет (графа 14) и для пользователей библиотеки (графа 15). </w:t>
      </w:r>
    </w:p>
    <w:p w:rsidR="00EF3EA6" w:rsidRDefault="00EF3EA6" w:rsidP="00EF3EA6">
      <w:pPr>
        <w:ind w:firstLine="709"/>
        <w:jc w:val="both"/>
        <w:rPr>
          <w:color w:val="000000"/>
        </w:rPr>
      </w:pPr>
      <w:r>
        <w:rPr>
          <w:color w:val="000000"/>
        </w:rPr>
        <w:t>В графах ставится “1”</w:t>
      </w:r>
      <w:r>
        <w:rPr>
          <w:b/>
          <w:color w:val="000000"/>
        </w:rPr>
        <w:t>при наличии:</w:t>
      </w:r>
      <w:r>
        <w:rPr>
          <w:color w:val="000000"/>
        </w:rPr>
        <w:t xml:space="preserve"> доступа через Интернет к электронным каталогам библиотеки - в графе 16; доступа через Интернет к полнотекстовым электронным ресурсам библиотеки – в графе 17, собственного Интернет-сайта или </w:t>
      </w:r>
      <w:proofErr w:type="gramStart"/>
      <w:r>
        <w:rPr>
          <w:color w:val="000000"/>
        </w:rPr>
        <w:t>Интернет-страницы</w:t>
      </w:r>
      <w:proofErr w:type="gramEnd"/>
      <w:r>
        <w:rPr>
          <w:color w:val="000000"/>
        </w:rPr>
        <w:t xml:space="preserve">, портала или персональной страницы учреждения на сайтах, порталах других учреждений - в графе 18. </w:t>
      </w:r>
    </w:p>
    <w:p w:rsidR="00EF3EA6" w:rsidRDefault="00EF3EA6" w:rsidP="00EF3EA6">
      <w:pPr>
        <w:ind w:firstLine="709"/>
        <w:jc w:val="both"/>
        <w:rPr>
          <w:i/>
          <w:iCs/>
        </w:rPr>
      </w:pPr>
      <w:r>
        <w:rPr>
          <w:b/>
          <w:bCs/>
          <w:color w:val="000000"/>
        </w:rPr>
        <w:t xml:space="preserve">В графах 19-22 </w:t>
      </w:r>
      <w:r>
        <w:rPr>
          <w:bCs/>
          <w:color w:val="000000"/>
        </w:rPr>
        <w:t>число</w:t>
      </w:r>
      <w:r>
        <w:rPr>
          <w:color w:val="000000"/>
        </w:rPr>
        <w:t xml:space="preserve"> копировально-множительной техники, транспортных средств, в том числе специализированных транспортных средств (</w:t>
      </w:r>
      <w:proofErr w:type="spellStart"/>
      <w:r>
        <w:rPr>
          <w:color w:val="000000"/>
        </w:rPr>
        <w:t>библиобусы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библиомобили</w:t>
      </w:r>
      <w:proofErr w:type="spellEnd"/>
      <w:r>
        <w:rPr>
          <w:color w:val="000000"/>
        </w:rPr>
        <w:t xml:space="preserve">), находящихся на балансе учреждения, </w:t>
      </w:r>
      <w:r>
        <w:t>указывается общее число номеров телефонов, установленных в библиотеке</w:t>
      </w:r>
      <w:r>
        <w:rPr>
          <w:i/>
          <w:iCs/>
        </w:rPr>
        <w:t xml:space="preserve">. </w:t>
      </w:r>
    </w:p>
    <w:p w:rsidR="00EF3EA6" w:rsidRDefault="00EF3EA6" w:rsidP="00EF3EA6">
      <w:pPr>
        <w:pStyle w:val="4"/>
      </w:pPr>
      <w:r>
        <w:t>Раздел 2. Электронные ресурсы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В графе 2</w:t>
      </w:r>
      <w:r>
        <w:t xml:space="preserve"> указывается объем собственных, формируемых библиотекой, фактографических, библиографических, адресных и прочих баз данных (далее - БД) в тысячах записей</w:t>
      </w:r>
      <w:r>
        <w:rPr>
          <w:i/>
          <w:iCs/>
        </w:rPr>
        <w:t>.</w:t>
      </w:r>
    </w:p>
    <w:p w:rsidR="00EF3EA6" w:rsidRDefault="00EF3EA6" w:rsidP="00EF3EA6">
      <w:pPr>
        <w:ind w:firstLine="709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>В графах 3-5</w:t>
      </w:r>
      <w:r>
        <w:rPr>
          <w:color w:val="000000"/>
        </w:rPr>
        <w:t xml:space="preserve">  (из графы 2) указывается число библиографических записей в библиографических БД, в том числе и в электронном каталоге</w:t>
      </w:r>
      <w:r>
        <w:rPr>
          <w:i/>
          <w:iCs/>
          <w:color w:val="000000"/>
        </w:rPr>
        <w:t>.</w:t>
      </w:r>
    </w:p>
    <w:p w:rsidR="00EF3EA6" w:rsidRDefault="00EF3EA6" w:rsidP="00EF3EA6">
      <w:pPr>
        <w:ind w:firstLine="709"/>
        <w:jc w:val="both"/>
        <w:rPr>
          <w:i/>
          <w:iCs/>
        </w:rPr>
      </w:pPr>
      <w:r>
        <w:rPr>
          <w:b/>
          <w:bCs/>
        </w:rPr>
        <w:t xml:space="preserve">В графе 6 </w:t>
      </w:r>
      <w:r>
        <w:rPr>
          <w:bCs/>
        </w:rPr>
        <w:t xml:space="preserve">указывается число документов библиотечного фонда, оцифрованных самой библиотекой и/или по её заказу. </w:t>
      </w:r>
    </w:p>
    <w:p w:rsidR="00EF3EA6" w:rsidRDefault="00EF3EA6" w:rsidP="00EF3EA6">
      <w:pPr>
        <w:pStyle w:val="4"/>
      </w:pPr>
      <w:r>
        <w:t xml:space="preserve">Раздел 3. Число пользователей и посещений </w:t>
      </w:r>
    </w:p>
    <w:p w:rsidR="00EF3EA6" w:rsidRDefault="00EF3EA6" w:rsidP="00EF3EA6">
      <w:pPr>
        <w:ind w:firstLine="709"/>
        <w:jc w:val="both"/>
      </w:pPr>
      <w:r>
        <w:t xml:space="preserve">Раздел 3 заполняется на основании годовых итоговых данных соответствующих разделов дневников библиотеки, формуляров и дневников библиотечных пунктов, формуляров зарегистрированных пользователей. Зарегистрированным пользователем считается человек или организация, предприятие, учреждение, </w:t>
      </w:r>
      <w:proofErr w:type="gramStart"/>
      <w:r>
        <w:t>зарегистрированные</w:t>
      </w:r>
      <w:proofErr w:type="gramEnd"/>
      <w:r>
        <w:t xml:space="preserve"> библиотекой, чтобы пользоваться документами  и услугами в библиотеке или вне ее.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В графе 2</w:t>
      </w:r>
      <w:r>
        <w:t xml:space="preserve"> указывается суммарное число перерегистрированных и вновь записанных в отчетном году пользователей, обслуженных всеми структурными подразделениями библиотеки (библиотеки-филиала), а также организованными ею библиотечными пунктами, включая остановки </w:t>
      </w:r>
      <w:proofErr w:type="spellStart"/>
      <w:r>
        <w:t>библиобуса</w:t>
      </w:r>
      <w:proofErr w:type="spellEnd"/>
      <w:r>
        <w:t>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lastRenderedPageBreak/>
        <w:t>В графе 5</w:t>
      </w:r>
      <w:r>
        <w:t xml:space="preserve"> указывается общее число посещений </w:t>
      </w:r>
      <w:proofErr w:type="gramStart"/>
      <w:r>
        <w:t>библиотеки</w:t>
      </w:r>
      <w:proofErr w:type="gramEnd"/>
      <w:r>
        <w:t xml:space="preserve"> как пользователями, так и посетителями массовых мероприятий, проведенных библиотекой.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графе 6</w:t>
      </w:r>
      <w:r>
        <w:t xml:space="preserve"> (из графы 5) указывается число посещений массовых мероприятий из общего числа, которое учитывается по входным билетам или приглашениям (платным или бесплатным), а также</w:t>
      </w:r>
      <w:r>
        <w:rPr>
          <w:i/>
          <w:iCs/>
        </w:rPr>
        <w:t xml:space="preserve"> </w:t>
      </w:r>
      <w:r>
        <w:t>по листкам (спискам) участников (присутствующих).</w:t>
      </w:r>
    </w:p>
    <w:p w:rsidR="00EF3EA6" w:rsidRDefault="00EF3EA6" w:rsidP="00EF3EA6">
      <w:pPr>
        <w:pStyle w:val="4"/>
        <w:tabs>
          <w:tab w:val="left" w:pos="1701"/>
        </w:tabs>
      </w:pPr>
      <w:r>
        <w:t>Раздел 4. Формирование и использование библиотечного фонда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proofErr w:type="gramStart"/>
      <w:r>
        <w:rPr>
          <w:b/>
          <w:bCs/>
        </w:rPr>
        <w:t>В графе 3 строк 04-05</w:t>
      </w:r>
      <w:r>
        <w:t xml:space="preserve"> указывается количество экземпляров всех печатных, электронных изданий и аудиовизуальных документов, вновь включенных в течение отчетного года в библиотечный фонд и исключенных из него: книги, брошюры, периодические, нотные, картографические и </w:t>
      </w:r>
      <w:proofErr w:type="spellStart"/>
      <w:r>
        <w:t>изоиздания</w:t>
      </w:r>
      <w:proofErr w:type="spellEnd"/>
      <w:r>
        <w:t>, специальные виды научно-технической литературы и документации, видео и аудиокассеты, компакт-диски, кино и видеофильмы, диапозитивы, микрофильмы, микрофиши, дискеты, оптические диски и др. (согласно Инструкции об учете</w:t>
      </w:r>
      <w:proofErr w:type="gramEnd"/>
      <w:r>
        <w:t xml:space="preserve"> библиотечных фондов, утвержденной приказом Министра культуры Российской Федерации № 590 от 02.12.1998 г.).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В графе 3 строки 06</w:t>
      </w:r>
      <w:r>
        <w:t xml:space="preserve"> указывается общее количество экземпляров библиотечного фонда, числящееся в учетной документации на конец отчетного</w:t>
      </w:r>
      <w:r>
        <w:rPr>
          <w:i/>
          <w:iCs/>
        </w:rPr>
        <w:t xml:space="preserve"> </w:t>
      </w:r>
      <w:r>
        <w:t>года, за исключением обменного фонда, сведения о котором в отчет по данной форме не включаются.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Графы 3-6 строки 07</w:t>
      </w:r>
      <w:r>
        <w:rPr>
          <w:b/>
          <w:bCs/>
          <w:strike/>
          <w:color w:val="FF0000"/>
        </w:rPr>
        <w:t xml:space="preserve"> </w:t>
      </w:r>
      <w:r>
        <w:t>заполняются на основе суммарных итоговых данных соответствующих разделов дневников библиотеки, включая выдачу в библиотечных пунктах и по межбиблиотечному абонементу (далее - МБА). Выдача</w:t>
      </w:r>
      <w:r>
        <w:rPr>
          <w:i/>
          <w:iCs/>
        </w:rPr>
        <w:t xml:space="preserve"> </w:t>
      </w:r>
      <w:r>
        <w:t xml:space="preserve">включает возобновления. </w:t>
      </w:r>
    </w:p>
    <w:p w:rsidR="00EF3EA6" w:rsidRDefault="00EF3EA6" w:rsidP="00EF3EA6">
      <w:pPr>
        <w:pStyle w:val="2"/>
        <w:spacing w:after="0" w:line="240" w:lineRule="auto"/>
        <w:ind w:firstLine="709"/>
        <w:jc w:val="both"/>
        <w:rPr>
          <w:b/>
          <w:bCs/>
          <w:i/>
          <w:iCs/>
          <w:szCs w:val="24"/>
        </w:rPr>
      </w:pPr>
      <w:r>
        <w:rPr>
          <w:szCs w:val="24"/>
        </w:rPr>
        <w:t xml:space="preserve">При выдаче изданий и материалов из одного структурного подразделения библиотеки в другое, в том числе по внутрисистемному обмену в ЦБС, учет выдачи производится лишь тем структурным подразделением, которое непосредственно осуществляет их выдачу пользователю. </w:t>
      </w:r>
    </w:p>
    <w:p w:rsidR="00EF3EA6" w:rsidRDefault="00EF3EA6" w:rsidP="00EF3EA6">
      <w:pPr>
        <w:ind w:firstLine="709"/>
        <w:jc w:val="both"/>
        <w:rPr>
          <w:i/>
          <w:iCs/>
        </w:rPr>
      </w:pPr>
      <w:r>
        <w:t xml:space="preserve">Издания и материалы, высланные в порядке МБА другим библиотекам по запросам их пользователей, учитываются в общей выдаче выславшей их библиотеки и показываются в графах 3-6 строк 07, </w:t>
      </w:r>
      <w:r>
        <w:rPr>
          <w:iCs/>
        </w:rPr>
        <w:t>10.</w:t>
      </w:r>
    </w:p>
    <w:p w:rsidR="00EF3EA6" w:rsidRDefault="00EF3EA6" w:rsidP="00EF3EA6">
      <w:pPr>
        <w:ind w:firstLine="709"/>
        <w:jc w:val="both"/>
      </w:pPr>
      <w:r>
        <w:t>Выдачу пользователям изданий и материалов, полученных в порядке внутрисистемного книгообмена и по МБА, библиотеки учитывают на общих основаниях и показывают ее в графах 3-6 строки 07</w:t>
      </w:r>
      <w:r>
        <w:rPr>
          <w:i/>
          <w:iCs/>
        </w:rPr>
        <w:t>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В графе 3 строки 10</w:t>
      </w:r>
      <w:r>
        <w:t xml:space="preserve"> учитывается общее количество копий документов (на бумаге, в электронном виде и в виде микроформ), сделанных библиотеками для своих пользователей, а также копии, предназначенные взамен подлинных материалов, выданных библиотекой по МБА.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t>Поступление, объем фондов и выдача электронных изданий и аудиовизуальных документов учитываются согласно Инструкции об учете библиотечных фондов, утвержденной приказом Министра культуры Российской Федерации № 590 от 02.12.1998 г</w:t>
      </w:r>
      <w:r>
        <w:rPr>
          <w:i/>
          <w:iCs/>
        </w:rPr>
        <w:t>.</w:t>
      </w:r>
    </w:p>
    <w:p w:rsidR="00EF3EA6" w:rsidRDefault="00EF3EA6" w:rsidP="00EF3EA6">
      <w:pPr>
        <w:ind w:firstLine="709"/>
        <w:jc w:val="both"/>
        <w:rPr>
          <w:i/>
          <w:iCs/>
        </w:rPr>
      </w:pPr>
      <w:r>
        <w:rPr>
          <w:b/>
          <w:bCs/>
        </w:rPr>
        <w:t>В графах 7-8 строк 04-09</w:t>
      </w:r>
      <w:r>
        <w:t xml:space="preserve"> отражается формирование и использование фонда на языках народов Российской Федерации, кроме русского, и на иностранных языках</w:t>
      </w:r>
      <w:r>
        <w:rPr>
          <w:i/>
          <w:iCs/>
        </w:rPr>
        <w:t>.</w:t>
      </w:r>
    </w:p>
    <w:p w:rsidR="00EF3EA6" w:rsidRDefault="00EF3EA6" w:rsidP="00EF3EA6">
      <w:pPr>
        <w:pStyle w:val="4"/>
      </w:pPr>
      <w:r>
        <w:t>Раздел 5. Информационное обслуживание и межбиблиотечный абонемент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В графе 2</w:t>
      </w:r>
      <w:r>
        <w:t xml:space="preserve"> указывается общее число зарегистрированных абонентов (пользователей), пользовавшихся информационными услугами и продукцией библиотеки в течение отчетного года. Абонентами информационного обслуживания могут выступать как физические, так и юридические лица.</w:t>
      </w:r>
    </w:p>
    <w:p w:rsidR="00EF3EA6" w:rsidRDefault="00EF3EA6" w:rsidP="00EF3EA6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В графе 3</w:t>
      </w:r>
      <w:r>
        <w:t xml:space="preserve"> указываются абоненты - физические лица, </w:t>
      </w:r>
      <w:r>
        <w:rPr>
          <w:b/>
          <w:bCs/>
        </w:rPr>
        <w:t>в графе  4</w:t>
      </w:r>
      <w:r>
        <w:t xml:space="preserve"> - юридические лица.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Графы 2- 4</w:t>
      </w:r>
      <w:r>
        <w:t xml:space="preserve"> заполняются на основе данных соответствующих разделов дневников библиотеки.</w:t>
      </w:r>
    </w:p>
    <w:p w:rsidR="00EF3EA6" w:rsidRDefault="00EF3EA6" w:rsidP="00EF3EA6">
      <w:pPr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В графе 5</w:t>
      </w:r>
      <w:r>
        <w:t xml:space="preserve"> указывается суммарное число справок (запросов, консультаций), выполненных работниками информационных</w:t>
      </w:r>
      <w:r>
        <w:rPr>
          <w:i/>
          <w:iCs/>
        </w:rPr>
        <w:t xml:space="preserve"> </w:t>
      </w:r>
      <w:r>
        <w:t>и</w:t>
      </w:r>
      <w:r>
        <w:rPr>
          <w:i/>
          <w:iCs/>
        </w:rPr>
        <w:t xml:space="preserve"> </w:t>
      </w:r>
      <w:r>
        <w:t>библиографических служб, сотрудниками отделов обслуживания</w:t>
      </w:r>
      <w:r>
        <w:rPr>
          <w:i/>
          <w:iCs/>
        </w:rPr>
        <w:t xml:space="preserve"> </w:t>
      </w:r>
      <w:r>
        <w:t>библиотеки и учитываемых в соответствующих разделах дневников библиотеки.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 xml:space="preserve">В графе 6 </w:t>
      </w:r>
      <w:r>
        <w:t>указывается число виртуальных посещений Интернет-сайтов данной библиотеки. Виртуальное посещение определяется как читательский запрос в Интернет-сайт из-за пределов библиотеки вне зависимости от числа просмотренных страниц или элементов, и сравнимо с традиционным посещением библиотеки.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графах  7-8</w:t>
      </w:r>
      <w:r>
        <w:t xml:space="preserve"> учитываются печатные, электронные издания, аудиовизуальные документы и их копии</w:t>
      </w:r>
      <w:r>
        <w:rPr>
          <w:i/>
          <w:iCs/>
        </w:rPr>
        <w:t xml:space="preserve">, </w:t>
      </w:r>
      <w:r>
        <w:t>полученные из других библиотек и высланные в порядке МБА другим библиотеками по запросам пользователей.</w:t>
      </w:r>
    </w:p>
    <w:p w:rsidR="00EF3EA6" w:rsidRDefault="00EF3EA6" w:rsidP="00EF3EA6">
      <w:pPr>
        <w:pStyle w:val="4"/>
      </w:pPr>
      <w:r>
        <w:t xml:space="preserve">Раздел 6. Персонал </w:t>
      </w:r>
    </w:p>
    <w:p w:rsidR="00EF3EA6" w:rsidRDefault="00EF3EA6" w:rsidP="00EF3EA6">
      <w:pPr>
        <w:pStyle w:val="FR1"/>
        <w:autoSpaceDE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графу 2</w:t>
      </w:r>
      <w:r>
        <w:rPr>
          <w:rFonts w:ascii="Times New Roman" w:hAnsi="Times New Roman" w:cs="Times New Roman"/>
          <w:sz w:val="24"/>
          <w:szCs w:val="24"/>
        </w:rPr>
        <w:t xml:space="preserve"> вносятся сведения об общей численности работников, как штатных, так и нештатных, включая административно-управленческий, технический и обслуживающий персонал, на конец отчетного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Приводятся сведения о фактической численности работников, работающих на условиях полной и частичной занятости, а не по штатному расписанию (</w:t>
      </w:r>
      <w:r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 если штатный работник совмещает должности, то он учитывается один раз по основной должности; если штатный работник помимо основной должности работает по договору, то он учитывается дважды, трижды и так далее (в зависимости от числа заключенных договоров).</w:t>
      </w:r>
      <w:proofErr w:type="gramEnd"/>
    </w:p>
    <w:p w:rsidR="00EF3EA6" w:rsidRDefault="00EF3EA6" w:rsidP="00EF3EA6">
      <w:pPr>
        <w:ind w:firstLine="709"/>
        <w:jc w:val="both"/>
        <w:rPr>
          <w:b/>
          <w:bCs/>
          <w:color w:val="000000"/>
        </w:rPr>
      </w:pPr>
      <w:r>
        <w:rPr>
          <w:b/>
          <w:bCs/>
        </w:rPr>
        <w:t>В графе 3</w:t>
      </w:r>
      <w:r>
        <w:t xml:space="preserve"> </w:t>
      </w:r>
      <w:r>
        <w:rPr>
          <w:bCs/>
          <w:color w:val="000000"/>
        </w:rPr>
        <w:t>указывается численность сотрудников, которые имеют подготовку по использованию информационно-коммуникационных технологий (ИКТ) от общего числа сотрудников (из графы 2).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Указывается численность сотрудников учреждения культуры, прошедших обучение в своем учреждении, или окончивших курсы переподготовки в области использования ИКТ, или имеющих специальное образование в области ИКТ</w:t>
      </w:r>
      <w:r>
        <w:rPr>
          <w:bCs/>
          <w:color w:val="000000"/>
        </w:rPr>
        <w:t>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графе 4</w:t>
      </w:r>
      <w:r>
        <w:t xml:space="preserve"> (из графы 2) указываются только библиотечные работники (непосредственно занятые библиотечной деятельностью) из общего числа на конец отчетного года. 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графе 5</w:t>
      </w:r>
      <w:r>
        <w:t xml:space="preserve"> (из графы 4) указываются библиотечные работники, имеющие высшее образование.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графе 6</w:t>
      </w:r>
      <w:r>
        <w:t xml:space="preserve"> (из графы 5) указываются библиотечные работники, имеющие высшее библиотечное образование.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графе 7</w:t>
      </w:r>
      <w:r>
        <w:t xml:space="preserve"> (из графы 4) указываются библиотечные работники, имеющие среднее специальное</w:t>
      </w:r>
      <w:r>
        <w:rPr>
          <w:i/>
          <w:iCs/>
        </w:rPr>
        <w:t xml:space="preserve"> </w:t>
      </w:r>
      <w:r>
        <w:t>образование (окончившие техникумы, колледжи, училища).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графе 8</w:t>
      </w:r>
      <w:r>
        <w:t xml:space="preserve"> (из графы 7) учитываются библиотечные работники, имеющие среднее библиотечное образование.</w:t>
      </w:r>
      <w:r>
        <w:tab/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>В графах 9-11</w:t>
      </w:r>
      <w:r>
        <w:t xml:space="preserve"> (из графы 4)  указывается число библиотечных работников из общего числа, имеющих общий стаж работы, соответственно, от 3 до 6 лет, от 6 до 10 лет, свыше 10 лет. </w:t>
      </w:r>
    </w:p>
    <w:p w:rsidR="00EF3EA6" w:rsidRDefault="00EF3EA6" w:rsidP="00EF3EA6">
      <w:pPr>
        <w:ind w:firstLine="709"/>
        <w:jc w:val="both"/>
      </w:pPr>
      <w:r>
        <w:rPr>
          <w:b/>
          <w:bCs/>
        </w:rPr>
        <w:t xml:space="preserve">В графах 12-14 </w:t>
      </w:r>
      <w:r>
        <w:rPr>
          <w:bCs/>
        </w:rPr>
        <w:t>(из графы 4) указывается число библиотечных работников из общего числа, имеющих возраст, соответственно, до 30 лет; от 30 до 55 лет; 55 лет и старше.</w:t>
      </w:r>
    </w:p>
    <w:p w:rsidR="00EF3EA6" w:rsidRDefault="00EF3EA6" w:rsidP="00EF3EA6">
      <w:pPr>
        <w:pStyle w:val="4"/>
      </w:pPr>
      <w:r>
        <w:lastRenderedPageBreak/>
        <w:t>Раздел 7. Поступление и использование финансовых средств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этом разделе показываются </w:t>
      </w:r>
      <w:r>
        <w:rPr>
          <w:rFonts w:ascii="Times New Roman" w:hAnsi="Times New Roman"/>
          <w:b/>
          <w:bCs/>
          <w:sz w:val="24"/>
          <w:szCs w:val="24"/>
        </w:rPr>
        <w:t xml:space="preserve">фактические суммы  поступлений, доходов  и расходов </w:t>
      </w:r>
      <w:r>
        <w:rPr>
          <w:rFonts w:ascii="Times New Roman" w:hAnsi="Times New Roman"/>
          <w:sz w:val="24"/>
          <w:szCs w:val="24"/>
        </w:rPr>
        <w:t xml:space="preserve"> учреждений на основании оперативных данных бухгалтерского учета в тысячах рублях (без десятичного знака).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графе 2 </w:t>
      </w:r>
      <w:r>
        <w:rPr>
          <w:rFonts w:ascii="Times New Roman" w:hAnsi="Times New Roman"/>
          <w:sz w:val="24"/>
          <w:szCs w:val="24"/>
        </w:rPr>
        <w:t xml:space="preserve"> указывается общая сумма поступлений финансовых средств  за отчетный период, которая  складывается из бюджетного финансирования  учреждения (графа 3), доходов учреждения от предпринимательской и иной приносящей доход деятельности (графа 12) и доходов от сдачи имущества в аренду (графа 16). 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Графа 3</w:t>
      </w:r>
      <w:r>
        <w:rPr>
          <w:rFonts w:ascii="Times New Roman" w:hAnsi="Times New Roman"/>
          <w:sz w:val="24"/>
          <w:szCs w:val="24"/>
        </w:rPr>
        <w:t xml:space="preserve"> отражает общую сумму бюджетного финансирования, полученного учреждением (сумма граф 4 и 11).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 4</w:t>
      </w:r>
      <w:r>
        <w:rPr>
          <w:rFonts w:ascii="Times New Roman" w:hAnsi="Times New Roman"/>
          <w:sz w:val="24"/>
          <w:szCs w:val="24"/>
        </w:rPr>
        <w:t xml:space="preserve"> отражается общая сумма  ассигнований, полученных  учреждением от учредителей (сумма граф 5 и 10), в том числе.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 5</w:t>
      </w:r>
      <w:r>
        <w:rPr>
          <w:rFonts w:ascii="Times New Roman" w:hAnsi="Times New Roman"/>
          <w:sz w:val="24"/>
          <w:szCs w:val="24"/>
        </w:rPr>
        <w:t xml:space="preserve"> отражается общая сумма  ассигнований от учредителей на текущее содержание учреждения по смете расходов, из которой  выделяются: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ассигнования на оплату труда </w:t>
      </w:r>
      <w:r>
        <w:rPr>
          <w:rFonts w:ascii="Times New Roman" w:hAnsi="Times New Roman"/>
          <w:b/>
          <w:bCs/>
          <w:sz w:val="24"/>
          <w:szCs w:val="24"/>
        </w:rPr>
        <w:t>(графа 6),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капитальный ремонт и реставрацию </w:t>
      </w:r>
      <w:r>
        <w:rPr>
          <w:rFonts w:ascii="Times New Roman" w:hAnsi="Times New Roman"/>
          <w:b/>
          <w:bCs/>
          <w:sz w:val="24"/>
          <w:szCs w:val="24"/>
        </w:rPr>
        <w:t>(графа 7),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комплектование фонда </w:t>
      </w:r>
      <w:r>
        <w:rPr>
          <w:rFonts w:ascii="Times New Roman" w:hAnsi="Times New Roman"/>
          <w:b/>
          <w:bCs/>
          <w:sz w:val="24"/>
          <w:szCs w:val="24"/>
        </w:rPr>
        <w:t>(графа 8),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приобретение  оборудования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(графа 9). 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графе 10</w:t>
      </w:r>
      <w:r>
        <w:rPr>
          <w:rFonts w:ascii="Times New Roman" w:hAnsi="Times New Roman"/>
          <w:sz w:val="24"/>
          <w:szCs w:val="24"/>
        </w:rPr>
        <w:t xml:space="preserve"> показываются другие поступления от учредителей: поступления в рамках федеральных целевых программ, на централизованные  или иные мероприятия, которые финансируются сверх сметы расходов на текущее содержание, а также гранты Президента, глав администраций и т.п., как особая форма бюджетного целевого финансирования.</w:t>
      </w:r>
    </w:p>
    <w:p w:rsidR="00EF3EA6" w:rsidRDefault="00EF3EA6" w:rsidP="00EF3EA6">
      <w:pPr>
        <w:pStyle w:val="a3"/>
        <w:widowControl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графе 11 </w:t>
      </w:r>
      <w:r>
        <w:rPr>
          <w:rFonts w:ascii="Times New Roman" w:hAnsi="Times New Roman"/>
          <w:sz w:val="24"/>
          <w:szCs w:val="24"/>
        </w:rPr>
        <w:t>(из графы 3) показываются ассигнования, полученные из бюджетов других уровней на  содержание и развитие учреждений, а также  на участие в реализации региональных программ, проведение культурных акций и другие.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графе 12 </w:t>
      </w:r>
      <w:r>
        <w:rPr>
          <w:rFonts w:ascii="Times New Roman" w:hAnsi="Times New Roman"/>
          <w:sz w:val="24"/>
          <w:szCs w:val="24"/>
        </w:rPr>
        <w:t>отражается общая сумма доходов  от предпринимательской и иной приносящей доход деятельности, из которой выделяются: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доходы от уставных видов деятельности (основной деятельности). Виды основной деятельности отражены  в специальном разделе Устава учреждения (</w:t>
      </w:r>
      <w:r>
        <w:rPr>
          <w:rFonts w:ascii="Times New Roman" w:hAnsi="Times New Roman"/>
          <w:b/>
          <w:bCs/>
          <w:sz w:val="24"/>
          <w:szCs w:val="24"/>
        </w:rPr>
        <w:t>графа 13);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доходы от предпринимательской деятельности, виды которой отражены в специальном разделе Устава учреждения  (</w:t>
      </w:r>
      <w:r>
        <w:rPr>
          <w:rFonts w:ascii="Times New Roman" w:hAnsi="Times New Roman"/>
          <w:b/>
          <w:bCs/>
          <w:sz w:val="24"/>
          <w:szCs w:val="24"/>
        </w:rPr>
        <w:t>графа 14);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добровольные пожертвования и целевые взносы от отечественных и (или)  зарубежных юридических и (или) физических лиц, полученные учреждением (</w:t>
      </w:r>
      <w:r>
        <w:rPr>
          <w:rFonts w:ascii="Times New Roman" w:hAnsi="Times New Roman"/>
          <w:b/>
          <w:bCs/>
          <w:sz w:val="24"/>
          <w:szCs w:val="24"/>
        </w:rPr>
        <w:t>графа 15).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графе 16 </w:t>
      </w:r>
      <w:r>
        <w:rPr>
          <w:rFonts w:ascii="Times New Roman" w:hAnsi="Times New Roman"/>
          <w:sz w:val="24"/>
          <w:szCs w:val="24"/>
        </w:rPr>
        <w:t>отражаются средства, полученные учреждением от сдачи в аренду имущества, находящегося в собственности или в оперативном управлении учреждения.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 17</w:t>
      </w:r>
      <w:r>
        <w:rPr>
          <w:rFonts w:ascii="Times New Roman" w:hAnsi="Times New Roman"/>
          <w:sz w:val="24"/>
          <w:szCs w:val="24"/>
        </w:rPr>
        <w:t xml:space="preserve">  указывается общая сумма средств, израсходованных учреждением за отчетный период.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 18</w:t>
      </w:r>
      <w:r>
        <w:rPr>
          <w:rFonts w:ascii="Times New Roman" w:hAnsi="Times New Roman"/>
          <w:sz w:val="24"/>
          <w:szCs w:val="24"/>
        </w:rPr>
        <w:t xml:space="preserve"> (из графы 17) приводятся данные об общих  расходах на оплату труда работников, как состоящих в штате учреждения, так и привлекаемых для выполнения работ по  договорам (контрактам) гражданско-правового характера. Сюда включаются  выплаты по должностным окладам, надбавки, премии, материальная помощь и другие виды денежных вознаграждений.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 графе 19</w:t>
      </w:r>
      <w:r>
        <w:rPr>
          <w:rFonts w:ascii="Times New Roman" w:hAnsi="Times New Roman"/>
          <w:sz w:val="24"/>
        </w:rPr>
        <w:t xml:space="preserve">  (из графы 18)  приводятся данные о расходах на оплату труда, произведенные за счет  доходов от предпринимательской и </w:t>
      </w:r>
      <w:r>
        <w:rPr>
          <w:rFonts w:ascii="Times New Roman" w:hAnsi="Times New Roman"/>
          <w:sz w:val="24"/>
        </w:rPr>
        <w:lastRenderedPageBreak/>
        <w:t>иной приносящей доход деятельности, целевых и благотворительных взносов, а также  средств, поступивших от аренды имущества, находящегося в собственности или оперативном управлении учреждения.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 20</w:t>
      </w:r>
      <w:r>
        <w:rPr>
          <w:rFonts w:ascii="Times New Roman" w:hAnsi="Times New Roman"/>
          <w:sz w:val="24"/>
          <w:szCs w:val="24"/>
        </w:rPr>
        <w:t xml:space="preserve">  (из графы 18)  приводятся данные об общих  расходах на оплату труда основного персонала </w:t>
      </w:r>
      <w:r>
        <w:rPr>
          <w:rFonts w:ascii="Times New Roman" w:hAnsi="Times New Roman"/>
          <w:sz w:val="24"/>
        </w:rPr>
        <w:t xml:space="preserve">численность, которого указана в графе </w:t>
      </w: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sz w:val="24"/>
        </w:rPr>
        <w:t xml:space="preserve"> строки 12.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 графе 21</w:t>
      </w:r>
      <w:r>
        <w:rPr>
          <w:rFonts w:ascii="Times New Roman" w:hAnsi="Times New Roman"/>
          <w:sz w:val="24"/>
        </w:rPr>
        <w:t xml:space="preserve">  (из графы 20)  приводятся данные о расходах на оплату труда основного персонала за счет доходов от предпринимательской и иной приносящей доход деятельности, целевых и благотворительных взносов, а также  средств, поступивших от аренды имущества, находящегося в собственности или оперативном управлении учреждения.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графе 22   </w:t>
      </w:r>
      <w:r>
        <w:rPr>
          <w:rFonts w:ascii="Times New Roman" w:hAnsi="Times New Roman"/>
          <w:sz w:val="24"/>
          <w:szCs w:val="24"/>
        </w:rPr>
        <w:t>(из графы 17) приводятся данные об общих  расходах учреждения на капитальный ремонт и реставрацию зданий и помещений.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 </w:t>
      </w:r>
      <w:r>
        <w:rPr>
          <w:rFonts w:ascii="Times New Roman" w:hAnsi="Times New Roman"/>
          <w:sz w:val="24"/>
          <w:szCs w:val="24"/>
        </w:rPr>
        <w:t>(из графы 22) приводятся данные о расходах учреждения на капитальный ремонт и реставрацию зданий и помещений, произведенных за счет доходов от предпринимательской и иной приносящей доход деятельности, целевых и благотворительных взносов, а также средств, поступивших от аренды имущества, находящегося в собственности или оперативном управлении учреждения.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(из графы 17)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приводятся данные об общих  расходах учреждения на приобретение оборудования и предметов длительного пользования.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графе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>
        <w:rPr>
          <w:rFonts w:ascii="Times New Roman" w:hAnsi="Times New Roman"/>
          <w:sz w:val="24"/>
          <w:szCs w:val="24"/>
        </w:rPr>
        <w:t>(из графы 24) приводятся данные о расходах учреждения на приобретение оборудования и предметов длительного пользования, произведенных за счет  доходов от предпринимательской и иной приносящей доход деятельности, целевых и благотворительных взносов,  а также  средств, поступивших от аренды имущества, находящегося в собственности или оперативном управлении учреждения.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графе 26 </w:t>
      </w:r>
      <w:r>
        <w:rPr>
          <w:rFonts w:ascii="Times New Roman" w:hAnsi="Times New Roman"/>
          <w:sz w:val="24"/>
          <w:szCs w:val="24"/>
        </w:rPr>
        <w:t>(из графы 17)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приводятся данные о расходах учреждения на комплектование фонда.</w:t>
      </w:r>
    </w:p>
    <w:p w:rsidR="00EF3EA6" w:rsidRDefault="00EF3EA6" w:rsidP="00EF3EA6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В графе 27 </w:t>
      </w:r>
      <w:r>
        <w:rPr>
          <w:rFonts w:ascii="Times New Roman" w:hAnsi="Times New Roman"/>
          <w:sz w:val="24"/>
        </w:rPr>
        <w:t>(из графы 26)</w:t>
      </w:r>
      <w:r>
        <w:rPr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приводятся данные о расходах </w:t>
      </w:r>
      <w:proofErr w:type="gramStart"/>
      <w:r>
        <w:rPr>
          <w:rFonts w:ascii="Times New Roman" w:hAnsi="Times New Roman"/>
          <w:sz w:val="24"/>
        </w:rPr>
        <w:t>учреждения</w:t>
      </w:r>
      <w:proofErr w:type="gramEnd"/>
      <w:r>
        <w:rPr>
          <w:rFonts w:ascii="Times New Roman" w:hAnsi="Times New Roman"/>
          <w:sz w:val="24"/>
        </w:rPr>
        <w:t xml:space="preserve"> на комплектование фонда произведенных за счет  доходов от предпринимательской и иной приносящей доход деятельности, целевых и благотворительных взносов,  а также  средств, поступивших от аренды имущества, находящегося в собственности или оперативном управлении учреждения. </w:t>
      </w:r>
    </w:p>
    <w:p w:rsidR="008866B9" w:rsidRDefault="008866B9"/>
    <w:sectPr w:rsidR="008866B9" w:rsidSect="00EF3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A6"/>
    <w:rsid w:val="001F4519"/>
    <w:rsid w:val="008866B9"/>
    <w:rsid w:val="00C17385"/>
    <w:rsid w:val="00E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F3EA6"/>
    <w:pPr>
      <w:keepNext/>
      <w:spacing w:before="120" w:after="1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F3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F3EA6"/>
    <w:pPr>
      <w:widowControl w:val="0"/>
      <w:spacing w:after="12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F3EA6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3EA6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F3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EF3EA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F3EA6"/>
    <w:pPr>
      <w:keepNext/>
      <w:spacing w:before="120" w:after="1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F3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F3EA6"/>
    <w:pPr>
      <w:widowControl w:val="0"/>
      <w:spacing w:after="12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F3EA6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3EA6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F3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EF3EA6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minacheva</dc:creator>
  <cp:lastModifiedBy>tikun</cp:lastModifiedBy>
  <cp:revision>2</cp:revision>
  <dcterms:created xsi:type="dcterms:W3CDTF">2014-11-27T13:17:00Z</dcterms:created>
  <dcterms:modified xsi:type="dcterms:W3CDTF">2014-11-27T13:17:00Z</dcterms:modified>
</cp:coreProperties>
</file>